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23" w:rsidRDefault="00F73E8E">
      <w:pPr>
        <w:ind w:left="1146"/>
        <w:jc w:val="center"/>
        <w:rPr>
          <w:b/>
          <w:u w:val="single"/>
        </w:rPr>
      </w:pPr>
      <w:r>
        <w:rPr>
          <w:b/>
          <w:u w:val="single"/>
        </w:rPr>
        <w:t xml:space="preserve">Terms and Conditions for </w:t>
      </w:r>
      <w:proofErr w:type="spellStart"/>
      <w:r>
        <w:rPr>
          <w:b/>
          <w:u w:val="single"/>
        </w:rPr>
        <w:t>UnionPay</w:t>
      </w:r>
      <w:proofErr w:type="spellEnd"/>
      <w:r>
        <w:rPr>
          <w:b/>
          <w:u w:val="single"/>
        </w:rPr>
        <w:t xml:space="preserve"> Year Long Perks Event </w:t>
      </w:r>
    </w:p>
    <w:p w:rsidR="00281923" w:rsidRDefault="00F73E8E">
      <w:pPr>
        <w:numPr>
          <w:ilvl w:val="0"/>
          <w:numId w:val="1"/>
        </w:numPr>
        <w:shd w:val="clear" w:color="auto" w:fill="FFFFFF"/>
        <w:spacing w:before="200" w:after="200"/>
        <w:jc w:val="both"/>
      </w:pPr>
      <w:bookmarkStart w:id="0" w:name="_30j0zll" w:colFirst="0" w:colLast="0"/>
      <w:bookmarkEnd w:id="0"/>
      <w:r>
        <w:t xml:space="preserve">This </w:t>
      </w:r>
      <w:proofErr w:type="spellStart"/>
      <w:r>
        <w:t>UnionPay</w:t>
      </w:r>
      <w:proofErr w:type="spellEnd"/>
      <w:r>
        <w:t xml:space="preserve"> International Year Long Perks (“</w:t>
      </w:r>
      <w:r>
        <w:rPr>
          <w:b/>
        </w:rPr>
        <w:t>Event</w:t>
      </w:r>
      <w:r>
        <w:t xml:space="preserve">”) is jointly organised by </w:t>
      </w:r>
      <w:proofErr w:type="spellStart"/>
      <w:r>
        <w:t>UnionPay</w:t>
      </w:r>
      <w:proofErr w:type="spellEnd"/>
      <w:r>
        <w:t xml:space="preserve"> International (“</w:t>
      </w:r>
      <w:r>
        <w:rPr>
          <w:b/>
        </w:rPr>
        <w:t>UPI</w:t>
      </w:r>
      <w:r>
        <w:t xml:space="preserve">”) and BIGLIFE </w:t>
      </w:r>
      <w:proofErr w:type="spellStart"/>
      <w:r>
        <w:t>Sdn</w:t>
      </w:r>
      <w:proofErr w:type="spellEnd"/>
      <w:r>
        <w:t xml:space="preserve"> </w:t>
      </w:r>
      <w:proofErr w:type="spellStart"/>
      <w:r>
        <w:t>Bhd</w:t>
      </w:r>
      <w:proofErr w:type="spellEnd"/>
      <w:r>
        <w:t xml:space="preserve"> (“</w:t>
      </w:r>
      <w:r>
        <w:rPr>
          <w:b/>
        </w:rPr>
        <w:t>BL</w:t>
      </w:r>
      <w:r>
        <w:t>”) (collectively referred to as the “</w:t>
      </w:r>
      <w:r>
        <w:rPr>
          <w:b/>
        </w:rPr>
        <w:t>Organisers</w:t>
      </w:r>
      <w:r>
        <w:t>”).</w:t>
      </w:r>
    </w:p>
    <w:p w:rsidR="00281923" w:rsidRDefault="00F73E8E" w:rsidP="00413376">
      <w:pPr>
        <w:numPr>
          <w:ilvl w:val="0"/>
          <w:numId w:val="1"/>
        </w:numPr>
        <w:shd w:val="clear" w:color="auto" w:fill="FFFFFF"/>
      </w:pPr>
      <w:r>
        <w:rPr>
          <w:color w:val="1C1E21"/>
        </w:rPr>
        <w:t>This Event is governed by the terms and conditions set out hereunder (“</w:t>
      </w:r>
      <w:r>
        <w:rPr>
          <w:b/>
          <w:color w:val="1C1E21"/>
        </w:rPr>
        <w:t>Specific</w:t>
      </w:r>
      <w:r>
        <w:rPr>
          <w:color w:val="1C1E21"/>
        </w:rPr>
        <w:t xml:space="preserve"> </w:t>
      </w:r>
      <w:r>
        <w:rPr>
          <w:b/>
          <w:color w:val="1C1E21"/>
        </w:rPr>
        <w:t>T&amp;C</w:t>
      </w:r>
      <w:r>
        <w:rPr>
          <w:color w:val="1C1E21"/>
        </w:rPr>
        <w:t xml:space="preserve">”) and </w:t>
      </w:r>
      <w:r>
        <w:t xml:space="preserve">the Event’s General Terms and Conditions which can be found at </w:t>
      </w:r>
      <w:hyperlink r:id="rId7">
        <w:r>
          <w:rPr>
            <w:color w:val="1155CC"/>
            <w:u w:val="single"/>
          </w:rPr>
          <w:t>https://www.airasia.com/aa/about-us/en/gb/event-general-terms-and-conditions.html</w:t>
        </w:r>
      </w:hyperlink>
      <w:r>
        <w:t xml:space="preserve"> (“</w:t>
      </w:r>
      <w:r>
        <w:rPr>
          <w:b/>
        </w:rPr>
        <w:t>General T&amp;C</w:t>
      </w:r>
      <w:r>
        <w:t>”).</w:t>
      </w:r>
      <w:r>
        <w:br/>
      </w:r>
    </w:p>
    <w:p w:rsidR="00281923" w:rsidRDefault="00F73E8E">
      <w:pPr>
        <w:shd w:val="clear" w:color="auto" w:fill="FFFFFF"/>
        <w:jc w:val="both"/>
        <w:rPr>
          <w:b/>
          <w:u w:val="single"/>
        </w:rPr>
      </w:pPr>
      <w:r>
        <w:rPr>
          <w:b/>
          <w:u w:val="single"/>
        </w:rPr>
        <w:t>Event Period</w:t>
      </w:r>
    </w:p>
    <w:p w:rsidR="00281923" w:rsidRDefault="00F73E8E">
      <w:pPr>
        <w:numPr>
          <w:ilvl w:val="0"/>
          <w:numId w:val="1"/>
        </w:numPr>
        <w:shd w:val="clear" w:color="auto" w:fill="FFFFFF"/>
        <w:spacing w:before="200" w:after="200"/>
        <w:jc w:val="both"/>
      </w:pPr>
      <w:bookmarkStart w:id="1" w:name="_p6bqq0bbqprh" w:colFirst="0" w:colLast="0"/>
      <w:bookmarkEnd w:id="1"/>
      <w:r>
        <w:t xml:space="preserve">The Event will commence from 00:00 (GMT+8) on </w:t>
      </w:r>
      <w:r>
        <w:rPr>
          <w:b/>
        </w:rPr>
        <w:t>1 December 2023</w:t>
      </w:r>
      <w:r>
        <w:t xml:space="preserve">, and end at 23:59 (GMT+8) on </w:t>
      </w:r>
      <w:r>
        <w:rPr>
          <w:b/>
        </w:rPr>
        <w:t>30 November 2024</w:t>
      </w:r>
      <w:r>
        <w:t xml:space="preserve"> or upon complete utilisation of the total allocation of the Benefits (as defined in Clause 6) pursuant to this Event, whichever comes first (“</w:t>
      </w:r>
      <w:r>
        <w:rPr>
          <w:b/>
        </w:rPr>
        <w:t>Event Period</w:t>
      </w:r>
      <w:r>
        <w:t xml:space="preserve">”). </w:t>
      </w:r>
    </w:p>
    <w:p w:rsidR="00281923" w:rsidRDefault="00F73E8E">
      <w:pPr>
        <w:shd w:val="clear" w:color="auto" w:fill="FFFFFF"/>
        <w:jc w:val="both"/>
      </w:pPr>
      <w:r>
        <w:rPr>
          <w:b/>
          <w:u w:val="single"/>
        </w:rPr>
        <w:t>Event Requirements</w:t>
      </w:r>
    </w:p>
    <w:p w:rsidR="00281923" w:rsidRDefault="00F73E8E">
      <w:pPr>
        <w:numPr>
          <w:ilvl w:val="0"/>
          <w:numId w:val="1"/>
        </w:numPr>
        <w:shd w:val="clear" w:color="auto" w:fill="FFFFFF"/>
        <w:spacing w:before="200" w:after="200"/>
        <w:jc w:val="both"/>
      </w:pPr>
      <w:r>
        <w:t>To qualify and participate in this Event, Participants must fulfil the following requirements during the Event Period (“</w:t>
      </w:r>
      <w:r>
        <w:rPr>
          <w:b/>
        </w:rPr>
        <w:t>Event Requirements</w:t>
      </w:r>
      <w:r>
        <w:t>”</w:t>
      </w:r>
      <w:proofErr w:type="gramStart"/>
      <w:r>
        <w:t>):-</w:t>
      </w:r>
      <w:proofErr w:type="gramEnd"/>
    </w:p>
    <w:p w:rsidR="00281923" w:rsidRPr="00413376" w:rsidRDefault="00F73E8E">
      <w:pPr>
        <w:numPr>
          <w:ilvl w:val="1"/>
          <w:numId w:val="1"/>
        </w:numPr>
        <w:jc w:val="both"/>
      </w:pPr>
      <w:r w:rsidRPr="00413376">
        <w:t xml:space="preserve">must be a valid and existing </w:t>
      </w:r>
      <w:proofErr w:type="spellStart"/>
      <w:r w:rsidRPr="00413376">
        <w:t>airasia</w:t>
      </w:r>
      <w:proofErr w:type="spellEnd"/>
      <w:r w:rsidRPr="00413376">
        <w:t xml:space="preserve"> member (having subscribed and registered for membership under the loyalty and rewards program operated by BL under the name “</w:t>
      </w:r>
      <w:proofErr w:type="spellStart"/>
      <w:r w:rsidRPr="00413376">
        <w:t>airasia</w:t>
      </w:r>
      <w:proofErr w:type="spellEnd"/>
      <w:r w:rsidRPr="00413376">
        <w:t xml:space="preserve"> rewards Program”) and have a unique registration number known as the “</w:t>
      </w:r>
      <w:proofErr w:type="spellStart"/>
      <w:r w:rsidRPr="00413376">
        <w:t>airasia</w:t>
      </w:r>
      <w:proofErr w:type="spellEnd"/>
      <w:r w:rsidRPr="00413376">
        <w:t xml:space="preserve"> member ID” issued by BL at the point of participation in the Event. In the event the Participant is not a registered </w:t>
      </w:r>
      <w:proofErr w:type="spellStart"/>
      <w:r w:rsidRPr="00413376">
        <w:t>airasia</w:t>
      </w:r>
      <w:proofErr w:type="spellEnd"/>
      <w:r w:rsidRPr="00413376">
        <w:t xml:space="preserve"> member at the time of the Event Period, the Participant is required to sign-up as an </w:t>
      </w:r>
      <w:proofErr w:type="spellStart"/>
      <w:r w:rsidRPr="00413376">
        <w:t>airasia</w:t>
      </w:r>
      <w:proofErr w:type="spellEnd"/>
      <w:r w:rsidRPr="00413376">
        <w:t xml:space="preserve"> member via https://www.airasia.com/ or </w:t>
      </w:r>
      <w:proofErr w:type="spellStart"/>
      <w:r w:rsidRPr="00413376">
        <w:t>airasia</w:t>
      </w:r>
      <w:proofErr w:type="spellEnd"/>
      <w:r w:rsidRPr="00413376">
        <w:t xml:space="preserve"> </w:t>
      </w:r>
      <w:proofErr w:type="spellStart"/>
      <w:r w:rsidRPr="00413376">
        <w:t>Superapp</w:t>
      </w:r>
      <w:proofErr w:type="spellEnd"/>
      <w:r w:rsidRPr="00413376">
        <w:t xml:space="preserve"> (collectively referred to as “</w:t>
      </w:r>
      <w:r w:rsidRPr="00413376">
        <w:rPr>
          <w:b/>
        </w:rPr>
        <w:t>Dedicated Platforms</w:t>
      </w:r>
      <w:r w:rsidRPr="00413376">
        <w:t xml:space="preserve">”) before participating in the Event. Any registration of </w:t>
      </w:r>
      <w:proofErr w:type="spellStart"/>
      <w:r w:rsidRPr="00413376">
        <w:t>airasia</w:t>
      </w:r>
      <w:proofErr w:type="spellEnd"/>
      <w:r w:rsidRPr="00413376">
        <w:t xml:space="preserve"> membership made after the Event Period shall not be entitled to the award of any </w:t>
      </w:r>
      <w:proofErr w:type="spellStart"/>
      <w:r w:rsidRPr="00413376">
        <w:t>airasia</w:t>
      </w:r>
      <w:proofErr w:type="spellEnd"/>
      <w:r w:rsidRPr="00413376">
        <w:t xml:space="preserve"> points under this Event;</w:t>
      </w:r>
      <w:r w:rsidRPr="00413376">
        <w:br/>
      </w:r>
    </w:p>
    <w:p w:rsidR="00281923" w:rsidRPr="00413376" w:rsidRDefault="000D353E" w:rsidP="00253B5B">
      <w:pPr>
        <w:numPr>
          <w:ilvl w:val="1"/>
          <w:numId w:val="1"/>
        </w:numPr>
      </w:pPr>
      <w:r w:rsidRPr="00413376">
        <w:t>The campa</w:t>
      </w:r>
      <w:r w:rsidR="00867F85" w:rsidRPr="00413376">
        <w:t>ign</w:t>
      </w:r>
      <w:r w:rsidRPr="00413376">
        <w:t xml:space="preserve"> specifically</w:t>
      </w:r>
      <w:r w:rsidR="00867F85" w:rsidRPr="00413376">
        <w:t xml:space="preserve"> target </w:t>
      </w:r>
      <w:proofErr w:type="spellStart"/>
      <w:r w:rsidRPr="00413376">
        <w:t>UnionPay</w:t>
      </w:r>
      <w:proofErr w:type="spellEnd"/>
      <w:r w:rsidRPr="00413376">
        <w:t xml:space="preserve"> cardholders</w:t>
      </w:r>
      <w:r w:rsidR="008C5CA9" w:rsidRPr="00413376">
        <w:t xml:space="preserve"> with </w:t>
      </w:r>
      <w:proofErr w:type="spellStart"/>
      <w:r w:rsidR="008C5CA9" w:rsidRPr="00413376">
        <w:t>UnionPay</w:t>
      </w:r>
      <w:proofErr w:type="spellEnd"/>
      <w:r w:rsidR="008C5CA9" w:rsidRPr="00413376">
        <w:t xml:space="preserve"> cards issued</w:t>
      </w:r>
      <w:r w:rsidRPr="00413376">
        <w:t xml:space="preserve"> </w:t>
      </w:r>
      <w:r w:rsidR="00867F85" w:rsidRPr="00413376">
        <w:t>in</w:t>
      </w:r>
      <w:r w:rsidRPr="00413376">
        <w:t xml:space="preserve"> Southeast A</w:t>
      </w:r>
      <w:r w:rsidR="00867F85" w:rsidRPr="00413376">
        <w:t xml:space="preserve">sian (SEA) countries, encompassing </w:t>
      </w:r>
      <w:r w:rsidRPr="00413376">
        <w:t>Malaysia, Thailand, Indonesia, the Philippines, Singapore, Cambodia, Myanmar, Brunei, Laos,</w:t>
      </w:r>
      <w:r w:rsidR="00253B5B" w:rsidRPr="00413376">
        <w:t xml:space="preserve"> and Vietnam, with card numbers </w:t>
      </w:r>
      <w:r w:rsidRPr="00413376">
        <w:t>starting with Bin 62/81.</w:t>
      </w:r>
      <w:r w:rsidR="00F73E8E" w:rsidRPr="00413376">
        <w:br/>
      </w:r>
    </w:p>
    <w:p w:rsidR="00281923" w:rsidRDefault="00F73E8E">
      <w:pPr>
        <w:numPr>
          <w:ilvl w:val="1"/>
          <w:numId w:val="1"/>
        </w:numPr>
        <w:jc w:val="both"/>
      </w:pPr>
      <w:r>
        <w:t>Must successfully perform the transaction set out in Clause 5 of this terms and conditions.</w:t>
      </w:r>
      <w:r>
        <w:br/>
      </w:r>
    </w:p>
    <w:p w:rsidR="00281923" w:rsidRDefault="00F73E8E">
      <w:pPr>
        <w:shd w:val="clear" w:color="auto" w:fill="FFFFFF"/>
        <w:jc w:val="both"/>
      </w:pPr>
      <w:r>
        <w:rPr>
          <w:b/>
          <w:u w:val="single"/>
        </w:rPr>
        <w:t>Event Mechanism</w:t>
      </w:r>
    </w:p>
    <w:p w:rsidR="00281923" w:rsidRDefault="00F73E8E">
      <w:pPr>
        <w:numPr>
          <w:ilvl w:val="0"/>
          <w:numId w:val="1"/>
        </w:numPr>
        <w:shd w:val="clear" w:color="auto" w:fill="FFFFFF"/>
        <w:spacing w:before="200" w:after="200"/>
        <w:jc w:val="both"/>
      </w:pPr>
      <w:r>
        <w:t xml:space="preserve">To participate in this Event, the Participants are required to fulfil the Event Requirement and perform a minimum single transaction of RM 300 or equivalent </w:t>
      </w:r>
      <w:r w:rsidR="003F6C42">
        <w:t xml:space="preserve">currency </w:t>
      </w:r>
      <w:r>
        <w:t xml:space="preserve">on </w:t>
      </w:r>
      <w:proofErr w:type="spellStart"/>
      <w:r>
        <w:t>airasia</w:t>
      </w:r>
      <w:proofErr w:type="spellEnd"/>
      <w:r>
        <w:t xml:space="preserve"> </w:t>
      </w:r>
      <w:proofErr w:type="spellStart"/>
      <w:r>
        <w:lastRenderedPageBreak/>
        <w:t>Superapp</w:t>
      </w:r>
      <w:proofErr w:type="spellEnd"/>
      <w:r>
        <w:t xml:space="preserve"> with </w:t>
      </w:r>
      <w:proofErr w:type="spellStart"/>
      <w:r>
        <w:t>UnionPay</w:t>
      </w:r>
      <w:proofErr w:type="spellEnd"/>
      <w:r>
        <w:t xml:space="preserve"> International Card during the Event Period (“</w:t>
      </w:r>
      <w:r>
        <w:rPr>
          <w:b/>
        </w:rPr>
        <w:t>Event Mechanism</w:t>
      </w:r>
      <w:r>
        <w:t xml:space="preserve">”) as tabulated below: </w:t>
      </w:r>
    </w:p>
    <w:tbl>
      <w:tblPr>
        <w:tblStyle w:val="a"/>
        <w:tblW w:w="7665"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010"/>
        <w:gridCol w:w="3015"/>
      </w:tblGrid>
      <w:tr w:rsidR="00281923">
        <w:tc>
          <w:tcPr>
            <w:tcW w:w="2640" w:type="dxa"/>
          </w:tcPr>
          <w:p w:rsidR="00281923" w:rsidRDefault="00F73E8E">
            <w:pPr>
              <w:spacing w:line="240" w:lineRule="auto"/>
              <w:ind w:left="720" w:hanging="360"/>
              <w:jc w:val="both"/>
              <w:rPr>
                <w:b/>
              </w:rPr>
            </w:pPr>
            <w:r>
              <w:rPr>
                <w:b/>
              </w:rPr>
              <w:t>Country</w:t>
            </w:r>
          </w:p>
        </w:tc>
        <w:tc>
          <w:tcPr>
            <w:tcW w:w="2010" w:type="dxa"/>
          </w:tcPr>
          <w:p w:rsidR="00281923" w:rsidRDefault="00F73E8E">
            <w:pPr>
              <w:spacing w:line="240" w:lineRule="auto"/>
              <w:ind w:left="720" w:hanging="360"/>
              <w:jc w:val="both"/>
              <w:rPr>
                <w:b/>
              </w:rPr>
            </w:pPr>
            <w:r>
              <w:rPr>
                <w:b/>
              </w:rPr>
              <w:t>Currency</w:t>
            </w:r>
          </w:p>
        </w:tc>
        <w:tc>
          <w:tcPr>
            <w:tcW w:w="3015" w:type="dxa"/>
          </w:tcPr>
          <w:p w:rsidR="00281923" w:rsidRDefault="00F73E8E">
            <w:pPr>
              <w:spacing w:line="240" w:lineRule="auto"/>
              <w:ind w:left="720" w:hanging="360"/>
              <w:jc w:val="both"/>
              <w:rPr>
                <w:b/>
              </w:rPr>
            </w:pPr>
            <w:r>
              <w:rPr>
                <w:b/>
              </w:rPr>
              <w:t>Minimum transaction</w:t>
            </w:r>
          </w:p>
        </w:tc>
      </w:tr>
      <w:tr w:rsidR="00281923">
        <w:tc>
          <w:tcPr>
            <w:tcW w:w="2640" w:type="dxa"/>
          </w:tcPr>
          <w:p w:rsidR="00281923" w:rsidRDefault="00F73E8E">
            <w:pPr>
              <w:spacing w:line="240" w:lineRule="auto"/>
              <w:ind w:left="720" w:hanging="360"/>
              <w:jc w:val="both"/>
            </w:pPr>
            <w:r>
              <w:t>Malaysia</w:t>
            </w:r>
          </w:p>
        </w:tc>
        <w:tc>
          <w:tcPr>
            <w:tcW w:w="2010" w:type="dxa"/>
          </w:tcPr>
          <w:p w:rsidR="00281923" w:rsidRDefault="00F73E8E">
            <w:pPr>
              <w:spacing w:line="240" w:lineRule="auto"/>
              <w:ind w:left="720" w:hanging="360"/>
              <w:jc w:val="both"/>
            </w:pPr>
            <w:r>
              <w:t>MYR</w:t>
            </w:r>
          </w:p>
        </w:tc>
        <w:tc>
          <w:tcPr>
            <w:tcW w:w="3015" w:type="dxa"/>
          </w:tcPr>
          <w:p w:rsidR="00281923" w:rsidRDefault="00F73E8E">
            <w:pPr>
              <w:spacing w:line="240" w:lineRule="auto"/>
              <w:ind w:left="720" w:hanging="360"/>
              <w:jc w:val="both"/>
            </w:pPr>
            <w:r>
              <w:t>300</w:t>
            </w:r>
          </w:p>
        </w:tc>
      </w:tr>
      <w:tr w:rsidR="00281923">
        <w:tc>
          <w:tcPr>
            <w:tcW w:w="2640" w:type="dxa"/>
          </w:tcPr>
          <w:p w:rsidR="00281923" w:rsidRDefault="00F73E8E">
            <w:pPr>
              <w:spacing w:line="240" w:lineRule="auto"/>
              <w:ind w:left="720" w:hanging="360"/>
              <w:jc w:val="both"/>
            </w:pPr>
            <w:r>
              <w:t>Indonesia</w:t>
            </w:r>
          </w:p>
        </w:tc>
        <w:tc>
          <w:tcPr>
            <w:tcW w:w="2010" w:type="dxa"/>
          </w:tcPr>
          <w:p w:rsidR="00281923" w:rsidRDefault="00F73E8E">
            <w:pPr>
              <w:spacing w:line="240" w:lineRule="auto"/>
              <w:ind w:left="720" w:hanging="360"/>
              <w:jc w:val="both"/>
            </w:pPr>
            <w:r>
              <w:t>IDR</w:t>
            </w:r>
          </w:p>
        </w:tc>
        <w:tc>
          <w:tcPr>
            <w:tcW w:w="3015" w:type="dxa"/>
          </w:tcPr>
          <w:p w:rsidR="00281923" w:rsidRDefault="00F73E8E">
            <w:pPr>
              <w:spacing w:line="240" w:lineRule="auto"/>
              <w:ind w:left="720" w:hanging="360"/>
              <w:jc w:val="both"/>
            </w:pPr>
            <w:r>
              <w:t>1,000,000</w:t>
            </w:r>
          </w:p>
        </w:tc>
      </w:tr>
      <w:tr w:rsidR="00281923">
        <w:tc>
          <w:tcPr>
            <w:tcW w:w="2640" w:type="dxa"/>
          </w:tcPr>
          <w:p w:rsidR="00281923" w:rsidRDefault="00F73E8E">
            <w:pPr>
              <w:spacing w:line="240" w:lineRule="auto"/>
              <w:ind w:left="720" w:hanging="360"/>
              <w:jc w:val="both"/>
            </w:pPr>
            <w:r>
              <w:t>Thailand</w:t>
            </w:r>
          </w:p>
        </w:tc>
        <w:tc>
          <w:tcPr>
            <w:tcW w:w="2010" w:type="dxa"/>
          </w:tcPr>
          <w:p w:rsidR="00281923" w:rsidRDefault="00F73E8E">
            <w:pPr>
              <w:spacing w:line="240" w:lineRule="auto"/>
              <w:ind w:left="720" w:hanging="360"/>
              <w:jc w:val="both"/>
            </w:pPr>
            <w:r>
              <w:t>THB</w:t>
            </w:r>
          </w:p>
        </w:tc>
        <w:tc>
          <w:tcPr>
            <w:tcW w:w="3015" w:type="dxa"/>
          </w:tcPr>
          <w:p w:rsidR="00281923" w:rsidRDefault="00F73E8E">
            <w:pPr>
              <w:spacing w:line="240" w:lineRule="auto"/>
              <w:ind w:left="720" w:hanging="360"/>
              <w:jc w:val="both"/>
            </w:pPr>
            <w:r>
              <w:t>2,300</w:t>
            </w:r>
          </w:p>
        </w:tc>
      </w:tr>
      <w:tr w:rsidR="00281923">
        <w:tc>
          <w:tcPr>
            <w:tcW w:w="2640" w:type="dxa"/>
          </w:tcPr>
          <w:p w:rsidR="00281923" w:rsidRDefault="00F73E8E">
            <w:pPr>
              <w:spacing w:line="240" w:lineRule="auto"/>
              <w:ind w:left="720" w:hanging="360"/>
              <w:jc w:val="both"/>
            </w:pPr>
            <w:r>
              <w:t>Philippines</w:t>
            </w:r>
          </w:p>
        </w:tc>
        <w:tc>
          <w:tcPr>
            <w:tcW w:w="2010" w:type="dxa"/>
          </w:tcPr>
          <w:p w:rsidR="00281923" w:rsidRDefault="00F73E8E">
            <w:pPr>
              <w:spacing w:line="240" w:lineRule="auto"/>
              <w:ind w:left="720" w:hanging="360"/>
              <w:jc w:val="both"/>
            </w:pPr>
            <w:r>
              <w:t>PHP</w:t>
            </w:r>
          </w:p>
        </w:tc>
        <w:tc>
          <w:tcPr>
            <w:tcW w:w="3015" w:type="dxa"/>
          </w:tcPr>
          <w:p w:rsidR="00281923" w:rsidRDefault="00F73E8E">
            <w:pPr>
              <w:spacing w:line="240" w:lineRule="auto"/>
              <w:ind w:left="720" w:hanging="360"/>
              <w:jc w:val="both"/>
            </w:pPr>
            <w:r>
              <w:t>3,700</w:t>
            </w:r>
          </w:p>
        </w:tc>
      </w:tr>
      <w:tr w:rsidR="00281923">
        <w:tc>
          <w:tcPr>
            <w:tcW w:w="2640" w:type="dxa"/>
          </w:tcPr>
          <w:p w:rsidR="00281923" w:rsidRDefault="00F73E8E">
            <w:pPr>
              <w:spacing w:line="240" w:lineRule="auto"/>
              <w:ind w:left="720" w:hanging="360"/>
              <w:jc w:val="both"/>
            </w:pPr>
            <w:r>
              <w:t>Singapore</w:t>
            </w:r>
          </w:p>
        </w:tc>
        <w:tc>
          <w:tcPr>
            <w:tcW w:w="2010" w:type="dxa"/>
          </w:tcPr>
          <w:p w:rsidR="00281923" w:rsidRDefault="00F73E8E">
            <w:pPr>
              <w:spacing w:line="240" w:lineRule="auto"/>
              <w:ind w:left="720" w:hanging="360"/>
              <w:jc w:val="both"/>
            </w:pPr>
            <w:r>
              <w:t>SGD</w:t>
            </w:r>
          </w:p>
        </w:tc>
        <w:tc>
          <w:tcPr>
            <w:tcW w:w="3015" w:type="dxa"/>
          </w:tcPr>
          <w:p w:rsidR="00281923" w:rsidRDefault="00F73E8E">
            <w:pPr>
              <w:spacing w:line="240" w:lineRule="auto"/>
              <w:ind w:left="720" w:hanging="360"/>
              <w:jc w:val="both"/>
            </w:pPr>
            <w:r>
              <w:t>90</w:t>
            </w:r>
          </w:p>
        </w:tc>
      </w:tr>
      <w:tr w:rsidR="00281923">
        <w:tc>
          <w:tcPr>
            <w:tcW w:w="2640" w:type="dxa"/>
          </w:tcPr>
          <w:p w:rsidR="00281923" w:rsidRDefault="00F73E8E">
            <w:pPr>
              <w:spacing w:line="240" w:lineRule="auto"/>
              <w:ind w:left="720" w:hanging="360"/>
              <w:jc w:val="both"/>
            </w:pPr>
            <w:r>
              <w:t>Brunei</w:t>
            </w:r>
          </w:p>
        </w:tc>
        <w:tc>
          <w:tcPr>
            <w:tcW w:w="2010" w:type="dxa"/>
          </w:tcPr>
          <w:p w:rsidR="00281923" w:rsidRDefault="00F73E8E">
            <w:pPr>
              <w:spacing w:line="240" w:lineRule="auto"/>
              <w:ind w:left="720" w:hanging="360"/>
              <w:jc w:val="both"/>
            </w:pPr>
            <w:r>
              <w:t>BND</w:t>
            </w:r>
          </w:p>
        </w:tc>
        <w:tc>
          <w:tcPr>
            <w:tcW w:w="3015" w:type="dxa"/>
          </w:tcPr>
          <w:p w:rsidR="00281923" w:rsidRDefault="00F73E8E">
            <w:pPr>
              <w:spacing w:line="240" w:lineRule="auto"/>
              <w:ind w:left="720" w:hanging="360"/>
              <w:jc w:val="both"/>
            </w:pPr>
            <w:r>
              <w:t>90</w:t>
            </w:r>
          </w:p>
        </w:tc>
      </w:tr>
      <w:tr w:rsidR="00281923">
        <w:tc>
          <w:tcPr>
            <w:tcW w:w="2640" w:type="dxa"/>
          </w:tcPr>
          <w:p w:rsidR="00281923" w:rsidRDefault="00F73E8E">
            <w:pPr>
              <w:spacing w:line="240" w:lineRule="auto"/>
              <w:ind w:left="720" w:hanging="360"/>
              <w:jc w:val="both"/>
            </w:pPr>
            <w:r>
              <w:t>Vietnam</w:t>
            </w:r>
          </w:p>
        </w:tc>
        <w:tc>
          <w:tcPr>
            <w:tcW w:w="2010" w:type="dxa"/>
          </w:tcPr>
          <w:p w:rsidR="00281923" w:rsidRDefault="00F73E8E">
            <w:pPr>
              <w:spacing w:line="240" w:lineRule="auto"/>
              <w:ind w:left="720" w:hanging="360"/>
              <w:jc w:val="both"/>
            </w:pPr>
            <w:r>
              <w:t>VND</w:t>
            </w:r>
          </w:p>
        </w:tc>
        <w:tc>
          <w:tcPr>
            <w:tcW w:w="3015" w:type="dxa"/>
          </w:tcPr>
          <w:p w:rsidR="00281923" w:rsidRDefault="00F73E8E">
            <w:pPr>
              <w:spacing w:line="240" w:lineRule="auto"/>
              <w:ind w:left="720" w:hanging="360"/>
              <w:jc w:val="both"/>
            </w:pPr>
            <w:r>
              <w:t>1,550,000</w:t>
            </w:r>
          </w:p>
        </w:tc>
      </w:tr>
      <w:tr w:rsidR="00281923">
        <w:trPr>
          <w:trHeight w:val="420"/>
        </w:trPr>
        <w:tc>
          <w:tcPr>
            <w:tcW w:w="2640" w:type="dxa"/>
          </w:tcPr>
          <w:p w:rsidR="00281923" w:rsidRDefault="00F73E8E">
            <w:pPr>
              <w:spacing w:line="240" w:lineRule="auto"/>
              <w:ind w:left="720" w:hanging="360"/>
              <w:jc w:val="both"/>
            </w:pPr>
            <w:r>
              <w:t>Cambodia</w:t>
            </w:r>
          </w:p>
        </w:tc>
        <w:tc>
          <w:tcPr>
            <w:tcW w:w="2010" w:type="dxa"/>
            <w:vMerge w:val="restart"/>
          </w:tcPr>
          <w:p w:rsidR="00281923" w:rsidRDefault="00F73E8E">
            <w:pPr>
              <w:spacing w:line="240" w:lineRule="auto"/>
              <w:ind w:left="720" w:hanging="360"/>
              <w:jc w:val="both"/>
            </w:pPr>
            <w:r>
              <w:t>USD</w:t>
            </w:r>
          </w:p>
        </w:tc>
        <w:tc>
          <w:tcPr>
            <w:tcW w:w="3015" w:type="dxa"/>
            <w:vMerge w:val="restart"/>
          </w:tcPr>
          <w:p w:rsidR="00281923" w:rsidRDefault="00F73E8E">
            <w:pPr>
              <w:spacing w:line="240" w:lineRule="auto"/>
              <w:ind w:left="720" w:hanging="360"/>
              <w:jc w:val="both"/>
            </w:pPr>
            <w:r>
              <w:t>70</w:t>
            </w:r>
          </w:p>
        </w:tc>
      </w:tr>
      <w:tr w:rsidR="00281923">
        <w:trPr>
          <w:trHeight w:val="420"/>
        </w:trPr>
        <w:tc>
          <w:tcPr>
            <w:tcW w:w="2640" w:type="dxa"/>
          </w:tcPr>
          <w:p w:rsidR="00281923" w:rsidRDefault="00F73E8E">
            <w:pPr>
              <w:spacing w:line="240" w:lineRule="auto"/>
              <w:ind w:left="720" w:hanging="360"/>
              <w:jc w:val="both"/>
            </w:pPr>
            <w:r>
              <w:t>Myanmar</w:t>
            </w:r>
          </w:p>
        </w:tc>
        <w:tc>
          <w:tcPr>
            <w:tcW w:w="2010" w:type="dxa"/>
            <w:vMerge/>
          </w:tcPr>
          <w:p w:rsidR="00281923" w:rsidRDefault="00281923">
            <w:pPr>
              <w:widowControl w:val="0"/>
            </w:pPr>
          </w:p>
        </w:tc>
        <w:tc>
          <w:tcPr>
            <w:tcW w:w="3015" w:type="dxa"/>
            <w:vMerge/>
          </w:tcPr>
          <w:p w:rsidR="00281923" w:rsidRDefault="00281923">
            <w:pPr>
              <w:widowControl w:val="0"/>
            </w:pPr>
          </w:p>
        </w:tc>
      </w:tr>
      <w:tr w:rsidR="00281923">
        <w:trPr>
          <w:trHeight w:val="420"/>
        </w:trPr>
        <w:tc>
          <w:tcPr>
            <w:tcW w:w="2640" w:type="dxa"/>
          </w:tcPr>
          <w:p w:rsidR="00281923" w:rsidRDefault="00F73E8E">
            <w:pPr>
              <w:spacing w:line="240" w:lineRule="auto"/>
              <w:ind w:left="720" w:hanging="360"/>
              <w:jc w:val="both"/>
            </w:pPr>
            <w:r>
              <w:t>Laos</w:t>
            </w:r>
          </w:p>
        </w:tc>
        <w:tc>
          <w:tcPr>
            <w:tcW w:w="2010" w:type="dxa"/>
            <w:vMerge/>
          </w:tcPr>
          <w:p w:rsidR="00281923" w:rsidRDefault="00281923">
            <w:pPr>
              <w:widowControl w:val="0"/>
            </w:pPr>
          </w:p>
        </w:tc>
        <w:tc>
          <w:tcPr>
            <w:tcW w:w="3015" w:type="dxa"/>
            <w:vMerge/>
          </w:tcPr>
          <w:p w:rsidR="00281923" w:rsidRDefault="00281923">
            <w:pPr>
              <w:widowControl w:val="0"/>
            </w:pPr>
          </w:p>
        </w:tc>
      </w:tr>
    </w:tbl>
    <w:p w:rsidR="00281923" w:rsidRDefault="00281923">
      <w:pPr>
        <w:shd w:val="clear" w:color="auto" w:fill="FFFFFF"/>
        <w:spacing w:before="200" w:after="200"/>
        <w:jc w:val="both"/>
      </w:pPr>
    </w:p>
    <w:p w:rsidR="00281923" w:rsidRDefault="00F73E8E">
      <w:pPr>
        <w:numPr>
          <w:ilvl w:val="0"/>
          <w:numId w:val="1"/>
        </w:numPr>
        <w:shd w:val="clear" w:color="auto" w:fill="FFFFFF"/>
        <w:spacing w:before="200" w:after="200"/>
        <w:jc w:val="both"/>
      </w:pPr>
      <w:r>
        <w:t>Fulfilling the Event Mechanism, Participants are eligible to receive the following benefits (“</w:t>
      </w:r>
      <w:r>
        <w:rPr>
          <w:b/>
        </w:rPr>
        <w:t>Benefits</w:t>
      </w:r>
      <w:r>
        <w:t xml:space="preserve">”): </w:t>
      </w:r>
    </w:p>
    <w:p w:rsidR="00281923" w:rsidRDefault="00F73E8E">
      <w:pPr>
        <w:numPr>
          <w:ilvl w:val="1"/>
          <w:numId w:val="1"/>
        </w:numPr>
        <w:shd w:val="clear" w:color="auto" w:fill="FFFFFF"/>
        <w:spacing w:before="200" w:after="200"/>
        <w:jc w:val="both"/>
      </w:pPr>
      <w:r>
        <w:t xml:space="preserve">Free upgrade to </w:t>
      </w:r>
      <w:proofErr w:type="spellStart"/>
      <w:r>
        <w:t>airasia</w:t>
      </w:r>
      <w:proofErr w:type="spellEnd"/>
      <w:r>
        <w:t xml:space="preserve"> Platinum Membership Status under the </w:t>
      </w:r>
      <w:proofErr w:type="spellStart"/>
      <w:r>
        <w:t>airasia</w:t>
      </w:r>
      <w:proofErr w:type="spellEnd"/>
      <w:r>
        <w:t xml:space="preserve"> rewards Program at the Dedicated Platforms with one (1) year validity (“</w:t>
      </w:r>
      <w:r>
        <w:rPr>
          <w:b/>
        </w:rPr>
        <w:t>Platinum Membership Status</w:t>
      </w:r>
      <w:r>
        <w:t xml:space="preserve">”) that provides: </w:t>
      </w:r>
    </w:p>
    <w:p w:rsidR="00281923" w:rsidRDefault="00F73E8E">
      <w:pPr>
        <w:numPr>
          <w:ilvl w:val="2"/>
          <w:numId w:val="1"/>
        </w:numPr>
        <w:shd w:val="clear" w:color="auto" w:fill="FFFFFF"/>
        <w:spacing w:before="200" w:after="200"/>
        <w:jc w:val="both"/>
      </w:pPr>
      <w:r>
        <w:t xml:space="preserve">Up to seven times (7x) </w:t>
      </w:r>
      <w:proofErr w:type="spellStart"/>
      <w:r>
        <w:t>airasia</w:t>
      </w:r>
      <w:proofErr w:type="spellEnd"/>
      <w:r>
        <w:t xml:space="preserve"> points earning on </w:t>
      </w:r>
      <w:proofErr w:type="spellStart"/>
      <w:r>
        <w:t>airasia</w:t>
      </w:r>
      <w:proofErr w:type="spellEnd"/>
      <w:r>
        <w:t xml:space="preserve"> </w:t>
      </w:r>
      <w:proofErr w:type="spellStart"/>
      <w:r>
        <w:t>Superapp</w:t>
      </w:r>
      <w:proofErr w:type="spellEnd"/>
      <w:r>
        <w:t>;</w:t>
      </w:r>
    </w:p>
    <w:p w:rsidR="00281923" w:rsidRDefault="00F73E8E">
      <w:pPr>
        <w:numPr>
          <w:ilvl w:val="2"/>
          <w:numId w:val="1"/>
        </w:numPr>
        <w:shd w:val="clear" w:color="auto" w:fill="FFFFFF"/>
        <w:spacing w:before="200" w:after="200"/>
        <w:jc w:val="both"/>
      </w:pPr>
      <w:r>
        <w:t>Priority Booking, Boarding, Baggage;</w:t>
      </w:r>
    </w:p>
    <w:p w:rsidR="00281923" w:rsidRDefault="00F73E8E">
      <w:pPr>
        <w:numPr>
          <w:ilvl w:val="2"/>
          <w:numId w:val="1"/>
        </w:numPr>
        <w:shd w:val="clear" w:color="auto" w:fill="FFFFFF"/>
        <w:jc w:val="both"/>
      </w:pPr>
      <w:r>
        <w:t>up to 15% off discount at selected hotels.</w:t>
      </w:r>
    </w:p>
    <w:p w:rsidR="00281923" w:rsidRDefault="00281923">
      <w:pPr>
        <w:shd w:val="clear" w:color="auto" w:fill="FFFFFF"/>
        <w:jc w:val="both"/>
      </w:pPr>
    </w:p>
    <w:p w:rsidR="00281923" w:rsidRDefault="00F73E8E">
      <w:pPr>
        <w:shd w:val="clear" w:color="auto" w:fill="FFFFFF"/>
        <w:ind w:left="1080"/>
        <w:jc w:val="both"/>
      </w:pPr>
      <w:r>
        <w:t xml:space="preserve">and; </w:t>
      </w:r>
    </w:p>
    <w:p w:rsidR="00281923" w:rsidRDefault="00F0746E" w:rsidP="00F0746E">
      <w:pPr>
        <w:numPr>
          <w:ilvl w:val="1"/>
          <w:numId w:val="1"/>
        </w:numPr>
        <w:shd w:val="clear" w:color="auto" w:fill="FFFFFF"/>
        <w:spacing w:before="200" w:after="200"/>
        <w:jc w:val="both"/>
      </w:pPr>
      <w:r w:rsidRPr="00F0746E">
        <w:t xml:space="preserve">Free voucher for first two-hundred and fifty (250) </w:t>
      </w:r>
      <w:proofErr w:type="spellStart"/>
      <w:r w:rsidR="008C5CA9">
        <w:t>UnionPay</w:t>
      </w:r>
      <w:proofErr w:type="spellEnd"/>
      <w:r w:rsidR="008C5CA9">
        <w:t xml:space="preserve"> </w:t>
      </w:r>
      <w:r w:rsidRPr="00F0746E">
        <w:t>Platinum &amp;</w:t>
      </w:r>
      <w:r w:rsidR="008C5CA9">
        <w:t xml:space="preserve">/or Diamond Cardholder using </w:t>
      </w:r>
      <w:proofErr w:type="spellStart"/>
      <w:r w:rsidR="008C5CA9">
        <w:t>a</w:t>
      </w:r>
      <w:r w:rsidRPr="00F0746E">
        <w:t>irasia</w:t>
      </w:r>
      <w:proofErr w:type="spellEnd"/>
      <w:r w:rsidRPr="00F0746E">
        <w:t xml:space="preserve"> Rides to airport. Voucher capped at RM60 or other equivalent currency at the applicable territory for the Participants in each calendar month (“Ride Voucher”);</w:t>
      </w:r>
    </w:p>
    <w:p w:rsidR="00281923" w:rsidRDefault="00F73E8E">
      <w:pPr>
        <w:numPr>
          <w:ilvl w:val="0"/>
          <w:numId w:val="1"/>
        </w:numPr>
        <w:pBdr>
          <w:top w:val="nil"/>
          <w:left w:val="nil"/>
          <w:bottom w:val="nil"/>
          <w:right w:val="nil"/>
          <w:between w:val="nil"/>
        </w:pBdr>
        <w:shd w:val="clear" w:color="auto" w:fill="FFFFFF"/>
        <w:spacing w:before="200" w:after="200"/>
        <w:jc w:val="both"/>
      </w:pPr>
      <w:r>
        <w:lastRenderedPageBreak/>
        <w:t xml:space="preserve">The rights to claim and enjoy the Benefits are non-transferrable. The Participant claiming and enjoying the benefits must be the same as the </w:t>
      </w:r>
      <w:proofErr w:type="spellStart"/>
      <w:r>
        <w:t>UnionPay</w:t>
      </w:r>
      <w:proofErr w:type="spellEnd"/>
      <w:r>
        <w:t xml:space="preserve"> International cardholder.</w:t>
      </w:r>
    </w:p>
    <w:p w:rsidR="00281923" w:rsidRDefault="00F73E8E">
      <w:pPr>
        <w:numPr>
          <w:ilvl w:val="0"/>
          <w:numId w:val="1"/>
        </w:numPr>
        <w:pBdr>
          <w:top w:val="nil"/>
          <w:left w:val="nil"/>
          <w:bottom w:val="nil"/>
          <w:right w:val="nil"/>
          <w:between w:val="nil"/>
        </w:pBdr>
        <w:shd w:val="clear" w:color="auto" w:fill="FFFFFF"/>
        <w:spacing w:before="200" w:after="200"/>
        <w:jc w:val="both"/>
      </w:pPr>
      <w:r>
        <w:t>Participants are allowed to perform multiple transactions during the Event Period, but shall only be entitled and limited to one (1) time free upgrade of the Platinum Membership Status and one (1) issuance of the Ride Voucher.</w:t>
      </w:r>
    </w:p>
    <w:p w:rsidR="00281923" w:rsidRDefault="00F73E8E">
      <w:pPr>
        <w:numPr>
          <w:ilvl w:val="0"/>
          <w:numId w:val="1"/>
        </w:numPr>
        <w:shd w:val="clear" w:color="auto" w:fill="FFFFFF"/>
        <w:spacing w:before="200" w:after="200"/>
        <w:jc w:val="both"/>
      </w:pPr>
      <w:r>
        <w:t xml:space="preserve">The entitlement of Platinum Membership Status through this Event will be upgraded into the eligible Participants’ respective </w:t>
      </w:r>
      <w:proofErr w:type="spellStart"/>
      <w:r>
        <w:t>airasia</w:t>
      </w:r>
      <w:proofErr w:type="spellEnd"/>
      <w:r>
        <w:t xml:space="preserve"> member account within fourteen (14) days of the transaction while the entitlement of Ride Voucher will be fourteen (14) working days after the end of the calendar </w:t>
      </w:r>
      <w:proofErr w:type="gramStart"/>
      <w:r>
        <w:t>month  (</w:t>
      </w:r>
      <w:proofErr w:type="gramEnd"/>
      <w:r>
        <w:t xml:space="preserve">or any other period as the Organiser deems appropriate) subject to the Organiser receiving all information as deemed necessary. This is subject to the exclusion of invalid or cancelled </w:t>
      </w:r>
      <w:proofErr w:type="gramStart"/>
      <w:r>
        <w:t>transactions,  where</w:t>
      </w:r>
      <w:proofErr w:type="gramEnd"/>
      <w:r>
        <w:t xml:space="preserve"> the Organisers reserve their rights to retrieve the cash value equivalent to the Benefits that has been awarded to the Participants pursuant to this Event.</w:t>
      </w:r>
    </w:p>
    <w:p w:rsidR="00281923" w:rsidRDefault="00F73E8E">
      <w:pPr>
        <w:numPr>
          <w:ilvl w:val="0"/>
          <w:numId w:val="1"/>
        </w:numPr>
        <w:shd w:val="clear" w:color="auto" w:fill="FFFFFF"/>
        <w:spacing w:before="200" w:after="200"/>
        <w:jc w:val="both"/>
      </w:pPr>
      <w:r>
        <w:t xml:space="preserve">Notwithstanding the standard validity period of </w:t>
      </w:r>
      <w:proofErr w:type="spellStart"/>
      <w:r>
        <w:t>airasia</w:t>
      </w:r>
      <w:proofErr w:type="spellEnd"/>
      <w:r>
        <w:t xml:space="preserve"> Platinum Membership Status as stipulated within the </w:t>
      </w:r>
      <w:proofErr w:type="spellStart"/>
      <w:r>
        <w:t>airasia</w:t>
      </w:r>
      <w:proofErr w:type="spellEnd"/>
      <w:r>
        <w:t xml:space="preserve"> rewards Terms and Conditions which can be found at </w:t>
      </w:r>
      <w:hyperlink r:id="rId8">
        <w:r>
          <w:rPr>
            <w:color w:val="1155CC"/>
            <w:u w:val="single"/>
          </w:rPr>
          <w:t>www.airasia.com/rewards</w:t>
        </w:r>
      </w:hyperlink>
      <w:r>
        <w:t xml:space="preserve">, the </w:t>
      </w:r>
      <w:proofErr w:type="spellStart"/>
      <w:r>
        <w:t>airasia</w:t>
      </w:r>
      <w:proofErr w:type="spellEnd"/>
      <w:r>
        <w:t xml:space="preserve"> Platinum Membership Status upgrade through this Event shall only valid for a period of twelve (12) months from the effective date of such membership status upgrade. </w:t>
      </w:r>
    </w:p>
    <w:p w:rsidR="00281923" w:rsidRDefault="00F73E8E">
      <w:pPr>
        <w:numPr>
          <w:ilvl w:val="0"/>
          <w:numId w:val="1"/>
        </w:numPr>
        <w:shd w:val="clear" w:color="auto" w:fill="FFFFFF"/>
        <w:spacing w:before="200" w:after="200"/>
        <w:jc w:val="both"/>
      </w:pPr>
      <w:r>
        <w:t>In the event the original Benefit offered is not available, the Organiser reserves the right in its sole discretion to substitute or replace it fro</w:t>
      </w:r>
      <w:bookmarkStart w:id="2" w:name="_GoBack"/>
      <w:bookmarkEnd w:id="2"/>
      <w:r>
        <w:t>m time to time with another of similar value without prior notice to the eligible participant(s). For the avoidance of doubt, the benefit and its value shall be determined by the Organiser at its own discretion.</w:t>
      </w:r>
    </w:p>
    <w:p w:rsidR="00281923" w:rsidRDefault="00F73E8E">
      <w:pPr>
        <w:shd w:val="clear" w:color="auto" w:fill="FFFFFF"/>
        <w:jc w:val="both"/>
        <w:rPr>
          <w:strike/>
        </w:rPr>
      </w:pPr>
      <w:r>
        <w:rPr>
          <w:b/>
          <w:u w:val="single"/>
        </w:rPr>
        <w:t>Miscellaneous</w:t>
      </w:r>
    </w:p>
    <w:p w:rsidR="00281923" w:rsidRDefault="00F73E8E">
      <w:pPr>
        <w:numPr>
          <w:ilvl w:val="0"/>
          <w:numId w:val="1"/>
        </w:numPr>
        <w:shd w:val="clear" w:color="auto" w:fill="FFFFFF"/>
        <w:spacing w:before="200" w:after="200"/>
        <w:jc w:val="both"/>
      </w:pPr>
      <w:r>
        <w:rPr>
          <w:highlight w:val="white"/>
        </w:rPr>
        <w:t xml:space="preserve">The General T&amp;C may be amended from time to time, hence, you are advised to review it periodically to be aware of such modifications. </w:t>
      </w:r>
      <w:r>
        <w:t>In the event of any conflict or inconsistency between these Terms and Conditions and any terms and conditions set forth in the General T&amp;C, these Terms and Conditions shall prevail.</w:t>
      </w:r>
    </w:p>
    <w:p w:rsidR="00281923" w:rsidRDefault="00F73E8E">
      <w:pPr>
        <w:numPr>
          <w:ilvl w:val="0"/>
          <w:numId w:val="1"/>
        </w:numPr>
        <w:shd w:val="clear" w:color="auto" w:fill="FFFFFF"/>
        <w:spacing w:before="200" w:after="200"/>
        <w:jc w:val="both"/>
      </w:pPr>
      <w:r>
        <w:t>The Specific T&amp;C are governed by the laws of Malaysia and subjected to the jurisdiction of the courts in Malaysia.</w:t>
      </w:r>
    </w:p>
    <w:p w:rsidR="00281923" w:rsidRDefault="00281923">
      <w:pPr>
        <w:shd w:val="clear" w:color="auto" w:fill="FFFFFF"/>
        <w:spacing w:before="200" w:after="200"/>
        <w:jc w:val="both"/>
      </w:pPr>
    </w:p>
    <w:p w:rsidR="00281923" w:rsidRDefault="00281923">
      <w:pPr>
        <w:shd w:val="clear" w:color="auto" w:fill="FFFFFF"/>
        <w:spacing w:before="200" w:after="200"/>
        <w:jc w:val="both"/>
      </w:pPr>
    </w:p>
    <w:p w:rsidR="00281923" w:rsidRDefault="00281923">
      <w:pPr>
        <w:shd w:val="clear" w:color="auto" w:fill="FFFFFF"/>
        <w:ind w:left="720"/>
        <w:jc w:val="both"/>
      </w:pPr>
    </w:p>
    <w:sectPr w:rsidR="0028192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8B" w:rsidRDefault="008B548B">
      <w:pPr>
        <w:spacing w:line="240" w:lineRule="auto"/>
      </w:pPr>
      <w:r>
        <w:separator/>
      </w:r>
    </w:p>
  </w:endnote>
  <w:endnote w:type="continuationSeparator" w:id="0">
    <w:p w:rsidR="008B548B" w:rsidRDefault="008B5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8B" w:rsidRDefault="008B548B">
      <w:pPr>
        <w:spacing w:line="240" w:lineRule="auto"/>
      </w:pPr>
      <w:r>
        <w:separator/>
      </w:r>
    </w:p>
  </w:footnote>
  <w:footnote w:type="continuationSeparator" w:id="0">
    <w:p w:rsidR="008B548B" w:rsidRDefault="008B5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23" w:rsidRDefault="00F73E8E">
    <w:pPr>
      <w:spacing w:line="240" w:lineRule="auto"/>
      <w:rPr>
        <w:rFonts w:ascii="Calibri" w:eastAsia="Calibri" w:hAnsi="Calibri" w:cs="Calibri"/>
        <w:b/>
        <w:sz w:val="20"/>
        <w:szCs w:val="20"/>
      </w:rPr>
    </w:pPr>
    <w:r>
      <w:rPr>
        <w:noProof/>
      </w:rPr>
      <w:drawing>
        <wp:anchor distT="0" distB="0" distL="0" distR="0" simplePos="0" relativeHeight="251658240" behindDoc="1" locked="0" layoutInCell="1" hidden="0" allowOverlap="1">
          <wp:simplePos x="0" y="0"/>
          <wp:positionH relativeFrom="column">
            <wp:posOffset>4362450</wp:posOffset>
          </wp:positionH>
          <wp:positionV relativeFrom="paragraph">
            <wp:posOffset>1</wp:posOffset>
          </wp:positionV>
          <wp:extent cx="1518603" cy="3155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8603" cy="315554"/>
                  </a:xfrm>
                  <a:prstGeom prst="rect">
                    <a:avLst/>
                  </a:prstGeom>
                  <a:ln/>
                </pic:spPr>
              </pic:pic>
            </a:graphicData>
          </a:graphic>
        </wp:anchor>
      </w:drawing>
    </w:r>
  </w:p>
  <w:p w:rsidR="00281923" w:rsidRDefault="00F73E8E">
    <w:pPr>
      <w:spacing w:line="240" w:lineRule="auto"/>
      <w:rPr>
        <w:rFonts w:ascii="Calibri" w:eastAsia="Calibri" w:hAnsi="Calibri" w:cs="Calibri"/>
      </w:rPr>
    </w:pPr>
    <w:r>
      <w:rPr>
        <w:rFonts w:ascii="Calibri" w:eastAsia="Calibri" w:hAnsi="Calibri" w:cs="Calibri"/>
        <w:b/>
        <w:sz w:val="20"/>
        <w:szCs w:val="20"/>
      </w:rPr>
      <w:t xml:space="preserve">BIGLIFE </w:t>
    </w:r>
    <w:proofErr w:type="spellStart"/>
    <w:r>
      <w:rPr>
        <w:rFonts w:ascii="Calibri" w:eastAsia="Calibri" w:hAnsi="Calibri" w:cs="Calibri"/>
        <w:b/>
        <w:sz w:val="20"/>
        <w:szCs w:val="20"/>
      </w:rPr>
      <w:t>Sdn</w:t>
    </w:r>
    <w:proofErr w:type="spellEnd"/>
    <w:r>
      <w:rPr>
        <w:rFonts w:ascii="Calibri" w:eastAsia="Calibri" w:hAnsi="Calibri" w:cs="Calibri"/>
        <w:b/>
        <w:sz w:val="20"/>
        <w:szCs w:val="20"/>
      </w:rPr>
      <w:t xml:space="preserve">. Bhd. (“BIG”)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p w:rsidR="00281923" w:rsidRDefault="0028192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F287C"/>
    <w:multiLevelType w:val="multilevel"/>
    <w:tmpl w:val="9FDA18FE"/>
    <w:lvl w:ilvl="0">
      <w:start w:val="1"/>
      <w:numFmt w:val="decimal"/>
      <w:lvlText w:val="%1."/>
      <w:lvlJc w:val="left"/>
      <w:pPr>
        <w:ind w:left="720" w:hanging="360"/>
      </w:pPr>
      <w:rPr>
        <w:sz w:val="22"/>
        <w:szCs w:val="22"/>
        <w:u w:val="none"/>
      </w:rPr>
    </w:lvl>
    <w:lvl w:ilvl="1">
      <w:start w:val="1"/>
      <w:numFmt w:val="lowerLetter"/>
      <w:lvlText w:val="(%2)"/>
      <w:lvlJc w:val="left"/>
      <w:pPr>
        <w:ind w:left="108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23"/>
    <w:rsid w:val="000D353E"/>
    <w:rsid w:val="00253B5B"/>
    <w:rsid w:val="00281923"/>
    <w:rsid w:val="003F6C42"/>
    <w:rsid w:val="00413376"/>
    <w:rsid w:val="005537DC"/>
    <w:rsid w:val="00867F85"/>
    <w:rsid w:val="008B548B"/>
    <w:rsid w:val="008C5CA9"/>
    <w:rsid w:val="008D0631"/>
    <w:rsid w:val="00AE4B22"/>
    <w:rsid w:val="00D33079"/>
    <w:rsid w:val="00E93542"/>
    <w:rsid w:val="00F0746E"/>
    <w:rsid w:val="00F73E8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DBA"/>
  <w15:docId w15:val="{06D62FCA-A273-4108-822D-0CA383AF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MY"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74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6E"/>
    <w:rPr>
      <w:rFonts w:ascii="Segoe UI" w:hAnsi="Segoe UI" w:cs="Segoe UI"/>
      <w:sz w:val="18"/>
      <w:szCs w:val="18"/>
    </w:rPr>
  </w:style>
  <w:style w:type="paragraph" w:styleId="Header">
    <w:name w:val="header"/>
    <w:basedOn w:val="Normal"/>
    <w:link w:val="HeaderChar"/>
    <w:uiPriority w:val="99"/>
    <w:unhideWhenUsed/>
    <w:rsid w:val="00867F85"/>
    <w:pPr>
      <w:tabs>
        <w:tab w:val="center" w:pos="4513"/>
        <w:tab w:val="right" w:pos="9026"/>
      </w:tabs>
      <w:spacing w:line="240" w:lineRule="auto"/>
    </w:pPr>
  </w:style>
  <w:style w:type="character" w:customStyle="1" w:styleId="HeaderChar">
    <w:name w:val="Header Char"/>
    <w:basedOn w:val="DefaultParagraphFont"/>
    <w:link w:val="Header"/>
    <w:uiPriority w:val="99"/>
    <w:rsid w:val="00867F85"/>
  </w:style>
  <w:style w:type="paragraph" w:styleId="Footer">
    <w:name w:val="footer"/>
    <w:basedOn w:val="Normal"/>
    <w:link w:val="FooterChar"/>
    <w:uiPriority w:val="99"/>
    <w:unhideWhenUsed/>
    <w:rsid w:val="00867F85"/>
    <w:pPr>
      <w:tabs>
        <w:tab w:val="center" w:pos="4513"/>
        <w:tab w:val="right" w:pos="9026"/>
      </w:tabs>
      <w:spacing w:line="240" w:lineRule="auto"/>
    </w:pPr>
  </w:style>
  <w:style w:type="character" w:customStyle="1" w:styleId="FooterChar">
    <w:name w:val="Footer Char"/>
    <w:basedOn w:val="DefaultParagraphFont"/>
    <w:link w:val="Footer"/>
    <w:uiPriority w:val="99"/>
    <w:rsid w:val="0086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irasia.com/rewards" TargetMode="External"/><Relationship Id="rId3" Type="http://schemas.openxmlformats.org/officeDocument/2006/relationships/settings" Target="settings.xml"/><Relationship Id="rId7" Type="http://schemas.openxmlformats.org/officeDocument/2006/relationships/hyperlink" Target="https://www.airasia.com/aa/about-us/en/gb/event-general-terms-and-condi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 Hoe Leong</dc:creator>
  <cp:lastModifiedBy>Kah Hoe Leong</cp:lastModifiedBy>
  <cp:revision>4</cp:revision>
  <dcterms:created xsi:type="dcterms:W3CDTF">2023-12-08T06:17:00Z</dcterms:created>
  <dcterms:modified xsi:type="dcterms:W3CDTF">2023-12-11T07:06:00Z</dcterms:modified>
</cp:coreProperties>
</file>